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jc w:val="center"/>
      </w:pPr>
      <w:r>
        <w:rPr>
          <w:b/>
          <w:bCs/>
        </w:rPr>
        <w:t xml:space="preserve">VEKALETNAME</w:t>
      </w:r>
    </w:p>
    <w:p>
      <w:pPr>
        <w:spacing w:after="160"/>
        <w:jc w:val="both"/>
      </w:pPr>
      <w:r>
        <w:rPr>
          <w:b/>
          <w:bCs/>
        </w:rPr>
        <w:t xml:space="preserve">VEKİL EDEN:</w:t>
      </w:r>
      <w:r>
        <w:rPr>
          <w:b w:val="false"/>
          <w:bCs w:val="false"/>
        </w:rPr>
        <w:t xml:space="preserve"> </w:t>
      </w:r>
      <w:r>
        <w:rPr>
          <w:b w:val="false"/>
          <w:bCs w:val="false"/>
          <w:highlight w:val="yellow"/>
        </w:rPr>
        <w:t xml:space="preserve">[AD SOYAD]</w:t>
      </w:r>
      <w:r>
        <w:rPr>
          <w:b w:val="false"/>
          <w:bCs w:val="false"/>
        </w:rPr>
        <w:t xml:space="preserve"> </w:t>
      </w:r>
      <w:r>
        <w:rPr>
          <w:b w:val="false"/>
          <w:bCs w:val="false"/>
          <w:highlight w:val="yellow"/>
        </w:rPr>
        <w:t xml:space="preserve">[T.C. KİMLİK NO]</w:t>
      </w:r>
      <w:r>
        <w:rPr>
          <w:b w:val="false"/>
          <w:bCs w:val="false"/>
        </w:rPr>
        <w:t xml:space="preserve">, </w:t>
      </w:r>
      <w:r>
        <w:rPr>
          <w:b w:val="false"/>
          <w:bCs w:val="false"/>
          <w:highlight w:val="yellow"/>
        </w:rPr>
        <w:t xml:space="preserve">[ADRES]</w:t>
      </w:r>
    </w:p>
    <w:p>
      <w:pPr>
        <w:spacing w:after="160"/>
        <w:jc w:val="both"/>
      </w:pPr>
      <w:r>
        <w:rPr>
          <w:b/>
          <w:bCs/>
        </w:rPr>
        <w:t xml:space="preserve">VEKİLLER:</w:t>
      </w:r>
      <w:r>
        <w:rPr>
          <w:b w:val="false"/>
          <w:bCs w:val="false"/>
        </w:rPr>
        <w:t xml:space="preserve"> İstanbul 1 Barosu’na kayıtlı, </w:t>
      </w:r>
      <w:r>
        <w:rPr>
          <w:b/>
          <w:bCs/>
        </w:rPr>
        <w:t xml:space="preserve">Av. KAMİL ERTUĞRUL MISIRLIOĞLU</w:t>
      </w:r>
      <w:r>
        <w:rPr>
          <w:b w:val="false"/>
          <w:bCs w:val="false"/>
        </w:rPr>
        <w:t xml:space="preserve"> </w:t>
      </w:r>
      <w:r>
        <w:rPr>
          <w:b w:val="false"/>
          <w:bCs w:val="false"/>
          <w:highlight w:val="yellow"/>
        </w:rPr>
        <w:t xml:space="preserve">[T.C. KİMLİK NO]</w:t>
      </w:r>
      <w:r>
        <w:rPr>
          <w:b w:val="false"/>
          <w:bCs w:val="false"/>
        </w:rPr>
        <w:t xml:space="preserve">, Adres: Saray Mah. Yunus Emre Cad. Neslihan Apt. No: 21 D: 2 Alanya / ANTALYA</w:t>
      </w:r>
    </w:p>
    <w:p>
      <w:pPr>
        <w:spacing w:after="160"/>
        <w:jc w:val="both"/>
      </w:pPr>
      <w:r>
        <w:rPr>
          <w:b w:val="false"/>
          <w:bCs w:val="false"/>
        </w:rPr>
        <w:t xml:space="preserve">Antalya Barosu’na kayıtlı, </w:t>
      </w:r>
      <w:r>
        <w:rPr>
          <w:b/>
          <w:bCs/>
        </w:rPr>
        <w:t xml:space="preserve">Av. NİYAZİ KAĞAN MISIRLIOĞLU</w:t>
      </w:r>
      <w:r>
        <w:rPr>
          <w:b w:val="false"/>
          <w:bCs w:val="false"/>
        </w:rPr>
        <w:t xml:space="preserve"> </w:t>
      </w:r>
      <w:r>
        <w:rPr>
          <w:b w:val="false"/>
          <w:bCs w:val="false"/>
          <w:highlight w:val="yellow"/>
        </w:rPr>
        <w:t xml:space="preserve">[T.C. KİMLİK NO]</w:t>
      </w:r>
      <w:r>
        <w:rPr>
          <w:b w:val="false"/>
          <w:bCs w:val="false"/>
        </w:rPr>
        <w:t xml:space="preserve">, Adres: Saray Mah. Yunus Emre Cad. Neslihan Apt. No: 21 D: 2 Alanya / ANTALYA</w:t>
      </w:r>
    </w:p>
    <w:p>
      <w:pPr>
        <w:spacing w:after="160"/>
        <w:jc w:val="both"/>
      </w:pPr>
      <w:r>
        <w:rPr>
          <w:b w:val="false"/>
          <w:bCs w:val="false"/>
        </w:rPr>
        <w:t xml:space="preserve">Leh ve aleyhimde açılmış veya açılacak bilumum dava ve takiplerden dolayı T.C. mahkemelerinin, meclislerinin, daire ve kurumlarının her bölüm ve derecesinde, her sıfat, tarik ve suretle beni temsile, haklarımın temini, müdafaası ve muhafazası için uygun göreceği tüm işlemleri takip etmeye, sonuçlandırmaya, dava açmaya, yeniden dava açmaya, dilekçe ve belgeleri yazıp imzalayarak ilgili olduğu daire ve kuruma vermeye, tebliğ ve tebellüğe, kararların açıklanmasını ve düzeltilmesini istemeye, istinaf yoluna başvurmaya, davayı temyize, Bölge Adliye Mahkemeleri, Bölge İdare Mahkemeleri, Yargıtay, Danıştay ve diğer idari, mali ve yargı kurumlarında temsile, duruşma ve karar düzeltme talebinde bulunmaya, tanıkları dinletmeye, şikâyette bulunmaya, şikâyetten vazgeçmeye, Anayasa Mahkemesinde bireysel başvuru hakkımı kullanarak başvuruda bulunmaya, Avrupa İnsan Hakları Mahkemesinde başvuru yapmaya, takip etmeye, sonuçlandırmaya, bilirkişi, muhasip, hakem tayin ve reddine, keşif talebine, raporlara itiraza, tespit yaptırmaya, ihtarname, ihbarname ve protesto çekmeye ve bunlara cevap vermeye, fesih ihbarında bulunmaya, adıma anahtar teslim almaya veya teslim etmeye, teslim tesellüm belgelerini imzalamaya, ilam ve kararların tamamının uygulanmasını sağlamaya, duruşmadan vareste tutulma talebinde bulunmaya, ihtiyati ve icrai haciz ile tedbir kararları almaya, tedbir ve haciz koydurmaya, icra takiplerinde pey sürmeye, ahzu kabza, benim yokluğumda devam edecek duruşmalara katılmaya, Ceza Muhakemesi Kanunu’nun ilgili maddeleri uyarınca uzlaşmaya, uzlaşma tekliflerini kabul veya redde, hükmün açıklanmasının geri bırakılmasını ve cezanın ertelenmesini talep etmeye, yabancı ülkelerde verilmiş mahkeme kararlarının tanınmasını ve tenfizini istemeye, adli sicil kaydımı ve arşiv bilgilerimi talep etmeye, ilamlı takiplerde ödeme yapacak kurumlar tarafından istenen “borcu yoktur” yazısını ilgili kurumlardan talep etmeye, mal beyanında bulunmaya, sulh olmaya, hâkimleri redde, davayı tamamen veya kısmen ıslah etmeye, yemin teklif etmeye, yemini kabul, iade ve redde, haczi kaldırmaya, iflasımı istemeye, tahkim ve hakem sözleşmesi yapmaya, konkordato ile sermaye şirketleri ve kooperatiflerin uzlaşma yoluyla yeniden yapılandırılması teklifinde bulunmaya ve bunlara muvafakat vermeye, Sigorta Tahkim Komisyonu ve alternatif uyuşmazlık çözüm yollarına başvurmaya, arabuluculuk yoluna başvurmaya, arabulucu seçmeye, arabuluculuk sürecinde ve müzakerelerde beni temsile, dilerse süreci sona erdirmeye, tutanak ve anlaşma belgelerini imzalamaya, takip ve sonuçlandırmaya, davadan veya kanun yollarından feragat etmeye, feragati kabule, karşı tarafı ibraya ve davasını kabul etmeye, yargılamanın iadesi yoluna gitmeye, hâkimlerin fiilleri sebebiyle devlet aleyhine tazminat davası açmaya, ortaklığın giderilmesi (izale-i şuyu) satış memurluklarında satış talebinde bulunmaya, teminat yatırmaya, pey sürmeye, teminatı iade almaya, satış talebinden vazgeçmeye, noterliklerden mirasçılık belgesi talep edip almaya;</w:t>
      </w:r>
    </w:p>
    <w:p>
      <w:pPr>
        <w:spacing w:after="160"/>
        <w:jc w:val="both"/>
      </w:pPr>
      <w:r>
        <w:rPr>
          <w:b w:val="false"/>
          <w:bCs w:val="false"/>
        </w:rPr>
        <w:t xml:space="preserve">Sigorta Tahkim Komisyonu ve hasar işlemleri bakımından; T.C. hudutları dâhilinde bulunan bilumum resmî, kamu ve özel hastanelerden, gerçek ve tüzel kişiler nezdinden bilgi ve evrak talep etmeye, müracaatlarda bulunmaya, her türlü hasar tespiti yaptırmaya, tutanaklarını imzalamaya, itirazda bulunmaya, ekspertiz raporu almaya, imzalamaya ve ibraz etmeye, hakem ve bilirkişi seçmeye, KVKK formu doldurmaya, bu konularla ilgili olarak bilumum sigorta şirketleri, trafik idareleri, Sigorta Tahkim Komisyonu ve diğer yetkili kurumlar nezdinde tüm işlemleri yapmaya, takip ve imzası ile neticelendirmeye;</w:t>
      </w:r>
    </w:p>
    <w:p>
      <w:pPr>
        <w:spacing w:after="160"/>
        <w:jc w:val="both"/>
      </w:pPr>
      <w:r>
        <w:rPr>
          <w:b w:val="false"/>
          <w:bCs w:val="false"/>
        </w:rPr>
        <w:t xml:space="preserve">Tapu işlemlerine ilişkin olarak ayrıca ve özel olarak; maliki bulunduğum </w:t>
      </w:r>
      <w:r>
        <w:rPr>
          <w:b w:val="false"/>
          <w:bCs w:val="false"/>
          <w:highlight w:val="yellow"/>
        </w:rPr>
        <w:t xml:space="preserve">[İL]</w:t>
      </w:r>
      <w:r>
        <w:rPr>
          <w:b w:val="false"/>
          <w:bCs w:val="false"/>
        </w:rPr>
        <w:t xml:space="preserve"> ili, </w:t>
      </w:r>
      <w:r>
        <w:rPr>
          <w:b w:val="false"/>
          <w:bCs w:val="false"/>
          <w:highlight w:val="yellow"/>
        </w:rPr>
        <w:t xml:space="preserve">[İLÇE]</w:t>
      </w:r>
      <w:r>
        <w:rPr>
          <w:b w:val="false"/>
          <w:bCs w:val="false"/>
        </w:rPr>
        <w:t xml:space="preserve"> ilçesi, </w:t>
      </w:r>
      <w:r>
        <w:rPr>
          <w:b w:val="false"/>
          <w:bCs w:val="false"/>
          <w:highlight w:val="yellow"/>
        </w:rPr>
        <w:t xml:space="preserve">[MAHALLE]</w:t>
      </w:r>
      <w:r>
        <w:rPr>
          <w:b w:val="false"/>
          <w:bCs w:val="false"/>
        </w:rPr>
        <w:t xml:space="preserve"> mahallesi, </w:t>
      </w:r>
      <w:r>
        <w:rPr>
          <w:b w:val="false"/>
          <w:bCs w:val="false"/>
          <w:highlight w:val="yellow"/>
        </w:rPr>
        <w:t xml:space="preserve">[ADA]</w:t>
      </w:r>
      <w:r>
        <w:rPr>
          <w:b w:val="false"/>
          <w:bCs w:val="false"/>
        </w:rPr>
        <w:t xml:space="preserve"> ada, </w:t>
      </w:r>
      <w:r>
        <w:rPr>
          <w:b w:val="false"/>
          <w:bCs w:val="false"/>
          <w:highlight w:val="yellow"/>
        </w:rPr>
        <w:t xml:space="preserve">[PARSEL]</w:t>
      </w:r>
      <w:r>
        <w:rPr>
          <w:b w:val="false"/>
          <w:bCs w:val="false"/>
        </w:rPr>
        <w:t xml:space="preserve"> parsel sayılı taşınmazdaki </w:t>
      </w:r>
      <w:r>
        <w:rPr>
          <w:b w:val="false"/>
          <w:bCs w:val="false"/>
          <w:highlight w:val="yellow"/>
        </w:rPr>
        <w:t xml:space="preserve">[BAĞIMSIZ BÖLÜM NO]</w:t>
      </w:r>
      <w:r>
        <w:rPr>
          <w:b w:val="false"/>
          <w:bCs w:val="false"/>
        </w:rPr>
        <w:t xml:space="preserve"> numaralı bağımsız bölümün </w:t>
      </w:r>
      <w:r>
        <w:rPr>
          <w:b w:val="false"/>
          <w:bCs w:val="false"/>
          <w:highlight w:val="yellow"/>
        </w:rPr>
        <w:t xml:space="preserve">[tamamını / hissemi]</w:t>
      </w:r>
      <w:r>
        <w:rPr>
          <w:b w:val="false"/>
          <w:bCs w:val="false"/>
        </w:rPr>
        <w:t xml:space="preserve"> dilediği kişiye, </w:t>
      </w:r>
      <w:r>
        <w:rPr>
          <w:b w:val="false"/>
          <w:bCs w:val="false"/>
          <w:highlight w:val="yellow"/>
        </w:rPr>
        <w:t xml:space="preserve">[dilediği bedelle / en az ..... TL bedelle]</w:t>
      </w:r>
      <w:r>
        <w:rPr>
          <w:b w:val="false"/>
          <w:bCs w:val="false"/>
        </w:rPr>
        <w:t xml:space="preserve"> satmaya, satış vaadi sözleşmesi yapmaya, satış bedelini ve kaparoyu almaya, adıma dilediği taşınmazları dilediği bedelle satın almaya, devir ve tescil işlemlerini yaptırmaya, tapu müdürlüklerinde resmî senetleri ve her türlü evrakı imzalamaya, tapu harcını, döner sermaye ücretini ve vergileri ödemeye, Web Tapu ve e-Devlet üzerinden randevu ve başvuru işlemlerini yürütmeye, taşınmaz üzerinde ipotek, şerh, intifa ve irtifak hakkı tesis etmeye ve bunları terkin ettirmeye, haciz ve tedbirlerin kaldırılması için başvurmaya, cins değişikliği, kat irtifakı ve kat mülkiyetine geçiş, tevhit, ifraz, cins ve yüzölçümü düzeltmesi işlemlerini yaptırmaya, belediyelerden emlak vergisi ilişik kesme belgesi ve rayiç değer yazısı ile vergi dairelerinden ve diğer kurumlardan gerekli belgeleri almaya, iskân, zemin etüdü ve DASK işlemlerini yürütmeye, yabancılara yapılacak satışlarda gerekli değerleme raporlarını ve izinleri almaya, bu işlerle ilgili tapu iptali ve tescil, ortaklığın giderilmesi, tahliye ve kira davaları açmaya ve takip etmeye; </w:t>
      </w:r>
      <w:r>
        <w:rPr>
          <w:b w:val="false"/>
          <w:bCs w:val="false"/>
          <w:highlight w:val="yellow"/>
        </w:rPr>
        <w:t xml:space="preserve">[Süre koymak isterseniz]</w:t>
      </w:r>
      <w:r>
        <w:rPr>
          <w:b w:val="false"/>
          <w:bCs w:val="false"/>
        </w:rPr>
        <w:t xml:space="preserve"> taşınmaz satışına ilişkin bu özel yetkiler </w:t>
      </w:r>
      <w:r>
        <w:rPr>
          <w:b w:val="false"/>
          <w:bCs w:val="false"/>
          <w:highlight w:val="yellow"/>
        </w:rPr>
        <w:t xml:space="preserve">[GG.AA.YYYY]</w:t>
      </w:r>
      <w:r>
        <w:rPr>
          <w:b w:val="false"/>
          <w:bCs w:val="false"/>
        </w:rPr>
        <w:t xml:space="preserve"> tarihine kadar geçerli olmak üzere;</w:t>
      </w:r>
    </w:p>
    <w:p>
      <w:pPr>
        <w:keepNext/>
        <w:keepLines/>
        <w:spacing w:after="160"/>
        <w:jc w:val="both"/>
      </w:pPr>
      <w:r>
        <w:rPr>
          <w:b w:val="false"/>
          <w:bCs w:val="false"/>
        </w:rPr>
        <w:t xml:space="preserve">Vekillerim ile aramızdaki mutabakat sonucu vekalet sözleşmesi kurulmuş olduğundan, işbu vekaletnamenin fiilen teslimi yerine geçmek üzere TNBBS elektronik arşivine taranmasına, işlemin yapıldığı noterlik ile diğer noterlik dairelerinden fiziki veya elektronik arşivden örnek almaya, bu vekaletnamedeki yetkilerin bir kısmı veya tamamı ile başkalarını tevkil, teşrik ve azle, birlikte veya ayrı ayrı vekaleti ifaya mezun ve yetkili olmak üzere İstanbul 1 Barosu’na kayıtlı </w:t>
      </w:r>
      <w:r>
        <w:rPr>
          <w:b w:val="false"/>
          <w:bCs w:val="false"/>
          <w:highlight w:val="yellow"/>
        </w:rPr>
        <w:t xml:space="preserve">[T.C. KİMLİK NO]</w:t>
      </w:r>
      <w:r>
        <w:rPr>
          <w:b w:val="false"/>
          <w:bCs w:val="false"/>
        </w:rPr>
        <w:t xml:space="preserve"> T.C. kimlik numaralı </w:t>
      </w:r>
      <w:r>
        <w:rPr>
          <w:b/>
          <w:bCs/>
        </w:rPr>
        <w:t xml:space="preserve">Av. KAMİL ERTUĞRUL MISIRLIOĞLU</w:t>
      </w:r>
      <w:r>
        <w:rPr>
          <w:b w:val="false"/>
          <w:bCs w:val="false"/>
        </w:rPr>
        <w:t xml:space="preserve"> ve Antalya Barosu’na kayıtlı </w:t>
      </w:r>
      <w:r>
        <w:rPr>
          <w:b w:val="false"/>
          <w:bCs w:val="false"/>
          <w:highlight w:val="yellow"/>
        </w:rPr>
        <w:t xml:space="preserve">[T.C. KİMLİK NO]</w:t>
      </w:r>
      <w:r>
        <w:rPr>
          <w:b w:val="false"/>
          <w:bCs w:val="false"/>
        </w:rPr>
        <w:t xml:space="preserve"> T.C. kimlik numaralı </w:t>
      </w:r>
      <w:r>
        <w:rPr>
          <w:b/>
          <w:bCs/>
        </w:rPr>
        <w:t xml:space="preserve">Av. NİYAZİ KAĞAN MISIRLIOĞLU</w:t>
      </w:r>
      <w:r>
        <w:rPr>
          <w:b w:val="false"/>
          <w:bCs w:val="false"/>
        </w:rPr>
        <w:t xml:space="preserve"> tarafımdan vekil tayin edildi.</w:t>
      </w:r>
    </w:p>
    <w:p>
      <w:pPr>
        <w:keepNext/>
        <w:keepLines/>
        <w:spacing w:before="480"/>
      </w:pPr>
    </w:p>
    <w:p>
      <w:pPr>
        <w:keepNext/>
        <w:keepLines/>
        <w:ind w:left="5400"/>
        <w:jc w:val="center"/>
      </w:pPr>
      <w:r>
        <w:rPr>
          <w:b w:val="false"/>
          <w:bCs w:val="false"/>
        </w:rPr>
        <w:t xml:space="preserve">VEKİL EDEN</w:t>
      </w:r>
    </w:p>
    <w:p>
      <w:pPr>
        <w:keepNext/>
        <w:keepLines/>
        <w:ind w:left="5400"/>
        <w:jc w:val="center"/>
      </w:pPr>
      <w:r>
        <w:rPr>
          <w:b w:val="false"/>
          <w:bCs w:val="false"/>
          <w:highlight w:val="yellow"/>
        </w:rPr>
        <w:t xml:space="preserve">[AD SOYAD]</w:t>
      </w:r>
    </w:p>
    <w:p>
      <w:pPr>
        <w:keepNext/>
        <w:keepLines/>
        <w:ind w:left="5400"/>
        <w:jc w:val="center"/>
      </w:pPr>
      <w:r>
        <w:rPr>
          <w:b w:val="false"/>
          <w:bCs w:val="false"/>
          <w:highlight w:val="yellow"/>
        </w:rPr>
        <w:t xml:space="preserve">[T.C. KİMLİK NO]</w:t>
      </w:r>
    </w:p>
    <w:p>
      <w:pPr>
        <w:ind w:left="5400"/>
        <w:jc w:val="center"/>
      </w:pPr>
      <w:r>
        <w:rPr>
          <w:b w:val="false"/>
          <w:bCs w:val="false"/>
        </w:rPr>
        <w:t xml:space="preserve">İmza</w:t>
      </w:r>
    </w:p>
    <w:sectPr>
      <w:footerReference w:type="default" r:id="rId6"/>
      <w:pgSz w:w="11906" w:h="16838"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A7068"/>
        <w:sz w:val="16"/>
        <w:szCs w:val="16"/>
      </w:rPr>
      <w:t xml:space="preserve">Örnek metindir; kendi durumunuza göre düzenleyin. Kaynak: NKM Hukuk Bürosu, nkmhukuk.com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36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Tapu İşlemleri Vekaletnamesi</dc:title>
  <dc:creator>NKM Hukuk Bürosu</dc:creator>
  <cp:lastModifiedBy>Un-named</cp:lastModifiedBy>
  <cp:revision>1</cp:revision>
  <dcterms:created xsi:type="dcterms:W3CDTF">2026-11-04T11:36:25.260Z</dcterms:created>
  <dcterms:modified xsi:type="dcterms:W3CDTF">2026-11-04T11:36:25.260Z</dcterms:modified>
</cp:coreProperties>
</file>

<file path=docProps/custom.xml><?xml version="1.0" encoding="utf-8"?>
<Properties xmlns="http://schemas.openxmlformats.org/officeDocument/2006/custom-properties" xmlns:vt="http://schemas.openxmlformats.org/officeDocument/2006/docPropsVTypes"/>
</file>